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0BBF73BA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nowego </w:t>
      </w:r>
    </w:p>
    <w:p w14:paraId="4AC76669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 do 3,5 tony</w:t>
      </w:r>
    </w:p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(Dz. U. z 2014 r., poz. 121 z późn.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398F4C98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CF5815">
        <w:rPr>
          <w:rFonts w:ascii="Myriad Pro Light" w:hAnsi="Myriad Pro Light"/>
          <w:sz w:val="20"/>
          <w:szCs w:val="20"/>
          <w:lang w:eastAsia="ar-SA"/>
        </w:rPr>
        <w:t xml:space="preserve"> 13 października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sz w:val="22"/>
          <w:szCs w:val="22"/>
          <w:u w:val="single"/>
        </w:rPr>
        <w:br w:type="page"/>
      </w:r>
      <w:bookmarkStart w:id="1" w:name="_Hlk46214717"/>
      <w:r w:rsidRPr="00F17AE3">
        <w:rPr>
          <w:rFonts w:ascii="Myriad Pro Light" w:hAnsi="Myriad Pro Light"/>
          <w:b/>
          <w:u w:val="single"/>
        </w:rPr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3709C9FB" w14:textId="77777777" w:rsidR="00BA3C81" w:rsidRPr="00F17AE3" w:rsidRDefault="00BA3C81" w:rsidP="003E7F52">
      <w:pPr>
        <w:jc w:val="both"/>
        <w:rPr>
          <w:rFonts w:ascii="Myriad Pro Light" w:hAnsi="Myriad Pro Light"/>
          <w:lang w:val="en-US"/>
        </w:rPr>
      </w:pPr>
    </w:p>
    <w:p w14:paraId="0D9672F6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157E8044" w:rsidR="00BA3C81" w:rsidRPr="00F17AE3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CF5815">
        <w:rPr>
          <w:rFonts w:ascii="Myriad Pro Light" w:hAnsi="Myriad Pro Light"/>
          <w:sz w:val="22"/>
          <w:szCs w:val="22"/>
        </w:rPr>
        <w:t>13 października</w:t>
      </w:r>
      <w:r w:rsidR="00C21A84" w:rsidRPr="00F17AE3">
        <w:rPr>
          <w:rFonts w:ascii="Myriad Pro Light" w:hAnsi="Myriad Pro Light"/>
          <w:sz w:val="22"/>
          <w:szCs w:val="22"/>
        </w:rPr>
        <w:t xml:space="preserve"> 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</w:t>
      </w:r>
      <w:r w:rsidRPr="00F17AE3">
        <w:rPr>
          <w:rFonts w:ascii="Myriad Pro Light" w:hAnsi="Myriad Pro Light"/>
          <w:sz w:val="22"/>
          <w:szCs w:val="22"/>
        </w:rPr>
        <w:t xml:space="preserve">. na stronie internetowej Zamawiającego </w:t>
      </w:r>
      <w:hyperlink r:id="rId8" w:history="1">
        <w:r w:rsidR="00413B9F" w:rsidRPr="00F17AE3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6E78AD84" w14:textId="5425F30E" w:rsidR="002C7E18" w:rsidRDefault="00BA3C81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CF5815">
        <w:rPr>
          <w:rFonts w:ascii="Myriad Pro Light" w:hAnsi="Myriad Pro Light"/>
          <w:sz w:val="22"/>
          <w:szCs w:val="22"/>
        </w:rPr>
        <w:t>13 października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C21A84" w:rsidRPr="00F17AE3">
        <w:rPr>
          <w:rFonts w:ascii="Myriad Pro Light" w:hAnsi="Myriad Pro Light"/>
          <w:sz w:val="22"/>
          <w:szCs w:val="22"/>
        </w:rPr>
        <w:t>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r. </w:t>
      </w:r>
      <w:r w:rsidRPr="00F17AE3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72F35E82" w:rsidR="005F5D0F" w:rsidRPr="002C7E18" w:rsidRDefault="00142AFC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C7E18">
        <w:rPr>
          <w:rFonts w:ascii="Myriad Pro Light" w:hAnsi="Myriad Pro Light"/>
          <w:sz w:val="22"/>
          <w:szCs w:val="22"/>
        </w:rPr>
        <w:t xml:space="preserve">dnia </w:t>
      </w:r>
      <w:r w:rsidR="00CF5815">
        <w:rPr>
          <w:rFonts w:ascii="Myriad Pro Light" w:hAnsi="Myriad Pro Light"/>
          <w:sz w:val="22"/>
          <w:szCs w:val="22"/>
        </w:rPr>
        <w:t>13 października</w:t>
      </w:r>
      <w:r w:rsidRPr="002C7E18">
        <w:rPr>
          <w:rFonts w:ascii="Myriad Pro Light" w:hAnsi="Myriad Pro Light"/>
          <w:sz w:val="22"/>
          <w:szCs w:val="22"/>
        </w:rPr>
        <w:t xml:space="preserve"> 202</w:t>
      </w:r>
      <w:r w:rsidR="00F17AE3" w:rsidRPr="002C7E18">
        <w:rPr>
          <w:rFonts w:ascii="Myriad Pro Light" w:hAnsi="Myriad Pro Light"/>
          <w:sz w:val="22"/>
          <w:szCs w:val="22"/>
        </w:rPr>
        <w:t>1</w:t>
      </w:r>
      <w:r w:rsidRPr="002C7E18">
        <w:rPr>
          <w:rFonts w:ascii="Myriad Pro Light" w:hAnsi="Myriad Pro Light"/>
          <w:sz w:val="22"/>
          <w:szCs w:val="22"/>
        </w:rPr>
        <w:t xml:space="preserve"> r. na stronie TED </w:t>
      </w:r>
      <w:hyperlink r:id="rId9" w:history="1">
        <w:r w:rsidR="005F5D0F" w:rsidRPr="002C7E18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66257833" w14:textId="287F0766" w:rsidR="00BA3C81" w:rsidRPr="005F5D0F" w:rsidRDefault="00BA3C81" w:rsidP="002E4D33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468136A9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661ACE14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  <w:b/>
          <w:u w:val="single"/>
        </w:rPr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5C85144E" w:rsidR="00892D1B" w:rsidRPr="00F17AE3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1"/>
      <w:r w:rsidR="00F17AE3" w:rsidRPr="00F17AE3">
        <w:rPr>
          <w:rFonts w:ascii="Myriad Pro Light" w:hAnsi="Myriad Pro Light" w:cs="Arial"/>
          <w:sz w:val="22"/>
          <w:szCs w:val="22"/>
        </w:rPr>
        <w:t>dostawa fabrycznie now</w:t>
      </w:r>
      <w:r w:rsidR="00A50209">
        <w:rPr>
          <w:rFonts w:ascii="Myriad Pro Light" w:hAnsi="Myriad Pro Light" w:cs="Arial"/>
          <w:sz w:val="22"/>
          <w:szCs w:val="22"/>
        </w:rPr>
        <w:t xml:space="preserve">ego </w:t>
      </w:r>
      <w:r w:rsidR="00F17AE3" w:rsidRPr="00F17AE3">
        <w:rPr>
          <w:rFonts w:ascii="Myriad Pro Light" w:hAnsi="Myriad Pro Light" w:cs="Arial"/>
          <w:sz w:val="22"/>
          <w:szCs w:val="22"/>
        </w:rPr>
        <w:t>samochodu ciężarowego o dopuszczalnej masie do 3,5 tony.</w:t>
      </w:r>
    </w:p>
    <w:p w14:paraId="6AD6C270" w14:textId="77777777" w:rsidR="00CF5815" w:rsidRDefault="00CF5815" w:rsidP="00CF5815">
      <w:pPr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59033360" w:rsidR="00F17AE3" w:rsidRPr="00CF5815" w:rsidRDefault="00F17AE3" w:rsidP="00CF5815">
      <w:pPr>
        <w:jc w:val="both"/>
        <w:rPr>
          <w:rFonts w:ascii="Myriad Pro Light" w:hAnsi="Myriad Pro Light" w:cs="Arial"/>
          <w:sz w:val="22"/>
          <w:szCs w:val="22"/>
        </w:rPr>
      </w:pPr>
      <w:r w:rsidRPr="00CF5815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</w:t>
      </w:r>
      <w:r w:rsidR="00A50209" w:rsidRPr="00CF5815">
        <w:rPr>
          <w:rFonts w:ascii="Myriad Pro Light" w:hAnsi="Myriad Pro Light" w:cs="Arial"/>
          <w:sz w:val="22"/>
          <w:szCs w:val="22"/>
        </w:rPr>
        <w:t>referencyjnych</w:t>
      </w:r>
      <w:r w:rsidRPr="00CF5815">
        <w:rPr>
          <w:rFonts w:ascii="Myriad Pro Light" w:hAnsi="Myriad Pro Light" w:cs="Arial"/>
          <w:sz w:val="22"/>
          <w:szCs w:val="22"/>
        </w:rPr>
        <w:t xml:space="preserve">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- rok produkcji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2019-2021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Pojedyncza kabina, 2 drzwiowa z fabryczną skrzynią ładunkową z zabezpieczeniem kabiny w postaci ściany przedniej z kratą stalową</w:t>
            </w:r>
          </w:p>
        </w:tc>
      </w:tr>
      <w:tr w:rsidR="00F17AE3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F17AE3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≥3,6 m</w:t>
            </w:r>
          </w:p>
          <w:p w14:paraId="6BA929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F17AE3" w:rsidRPr="00F17AE3" w14:paraId="31304AB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498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AAB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przyczepy z hamulcem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07A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2500kg</w:t>
            </w:r>
          </w:p>
        </w:tc>
      </w:tr>
      <w:tr w:rsidR="00F17AE3" w:rsidRPr="00F17AE3" w14:paraId="65CF328C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AC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E7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4F6" w14:textId="68D5BD1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&gt;1400 kg</w:t>
            </w:r>
            <w:r w:rsidR="00CF5815">
              <w:rPr>
                <w:rFonts w:ascii="Myriad Pro Light" w:hAnsi="Myriad Pro Light"/>
                <w:sz w:val="22"/>
                <w:szCs w:val="22"/>
              </w:rPr>
              <w:t xml:space="preserve">                                                 </w:t>
            </w:r>
            <w:r w:rsidR="00CF5815"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F17AE3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3CE2F803" w:rsidR="00F17AE3" w:rsidRPr="00F17AE3" w:rsidRDefault="00CF5815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F17AE3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160 KM</w:t>
            </w:r>
          </w:p>
        </w:tc>
      </w:tr>
      <w:tr w:rsidR="00F17AE3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F17AE3" w:rsidRPr="00F17AE3" w14:paraId="2D99EF2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65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4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978" w14:textId="525B2A8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4WD</w:t>
            </w:r>
            <w:r w:rsidR="00CF5815">
              <w:rPr>
                <w:rFonts w:ascii="Myriad Pro Light" w:hAnsi="Myriad Pro Light"/>
                <w:sz w:val="22"/>
                <w:szCs w:val="22"/>
              </w:rPr>
              <w:t xml:space="preserve">                                                           </w:t>
            </w:r>
            <w:r w:rsidR="00CF5815"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F17AE3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2393DD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F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4D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Zużycie paliwa w cyklu mieszanym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98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7,0 l/100 km (NEDC)</w:t>
            </w:r>
          </w:p>
        </w:tc>
      </w:tr>
      <w:tr w:rsidR="00F17AE3" w:rsidRPr="00F17AE3" w14:paraId="264BE13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7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1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Poziom emisji CO</w:t>
            </w:r>
            <w:r w:rsidRPr="00F17AE3">
              <w:rPr>
                <w:rFonts w:ascii="Myriad Pro Light" w:hAnsi="Myriad Pro Light"/>
                <w:sz w:val="22"/>
                <w:szCs w:val="22"/>
                <w:vertAlign w:val="subscript"/>
              </w:rPr>
              <w:t xml:space="preserve">2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9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180 g/km (NEDC)</w:t>
            </w:r>
          </w:p>
        </w:tc>
      </w:tr>
      <w:tr w:rsidR="00F17AE3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3309FE14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  <w:r w:rsidR="00CF5815"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  <w:r w:rsidR="00CF5815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                            </w:t>
            </w:r>
            <w:r w:rsidR="00CF5815"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F17AE3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A07" w14:textId="35848A0C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  <w:p w14:paraId="36E12BF0" w14:textId="67B983F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Immobilizer - TAK, </w:t>
            </w:r>
          </w:p>
        </w:tc>
      </w:tr>
      <w:tr w:rsidR="00F17AE3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65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  <w:p w14:paraId="352FCBB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Przednie lampy przeciwmgielne - TAK, </w:t>
            </w:r>
          </w:p>
          <w:p w14:paraId="15DA6505" w14:textId="3056090E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Podgrzewane lusterka boczne – TAK</w:t>
            </w:r>
          </w:p>
          <w:p w14:paraId="3B0E921D" w14:textId="03E033E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Centralny zamek - TAK</w:t>
            </w:r>
          </w:p>
        </w:tc>
      </w:tr>
      <w:tr w:rsidR="00F17AE3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D32869A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F76" w14:textId="6A2A81E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B8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Koło zapasowe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C5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Pełnowymiarowe lub dojazdowe z zestawem narzędzi </w:t>
            </w:r>
          </w:p>
        </w:tc>
      </w:tr>
      <w:tr w:rsidR="00F17AE3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4DABA4B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Fabryczny</w:t>
            </w:r>
            <w:r w:rsidR="00CF5815">
              <w:rPr>
                <w:rFonts w:ascii="Myriad Pro Light" w:hAnsi="Myriad Pro Light"/>
                <w:sz w:val="22"/>
                <w:szCs w:val="22"/>
              </w:rPr>
              <w:t xml:space="preserve">                                                 </w:t>
            </w:r>
            <w:r w:rsidR="00CF5815"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F17AE3" w:rsidRPr="00F17AE3" w14:paraId="65084DE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6DD" w14:textId="332D27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System audio z radiem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D5D" w14:textId="7360C6B8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TAK</w:t>
            </w:r>
          </w:p>
        </w:tc>
      </w:tr>
      <w:tr w:rsidR="00F17AE3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a) dokumentacje techniczno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2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1C48451F" w14:textId="538E37D7" w:rsidR="006C24AE" w:rsidRPr="006C24AE" w:rsidRDefault="0030751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34</w:t>
      </w:r>
      <w:r w:rsidR="00A50209">
        <w:rPr>
          <w:rFonts w:ascii="Myriad Pro Light" w:hAnsi="Myriad Pro Light" w:cs="Arial"/>
          <w:sz w:val="22"/>
          <w:szCs w:val="22"/>
        </w:rPr>
        <w:t>1</w:t>
      </w:r>
      <w:r>
        <w:rPr>
          <w:rFonts w:ascii="Myriad Pro Light" w:hAnsi="Myriad Pro Light" w:cs="Arial"/>
          <w:sz w:val="22"/>
          <w:szCs w:val="22"/>
        </w:rPr>
        <w:t xml:space="preserve">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</w:p>
    <w:p w14:paraId="6823303B" w14:textId="77777777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bookmarkEnd w:id="2"/>
    <w:p w14:paraId="0414327E" w14:textId="77777777" w:rsidR="00A143D3" w:rsidRPr="00F17AE3" w:rsidRDefault="00A143D3" w:rsidP="003E7F52">
      <w:pPr>
        <w:jc w:val="both"/>
        <w:rPr>
          <w:rFonts w:ascii="Myriad Pro Light" w:hAnsi="Myriad Pro Light"/>
        </w:rPr>
      </w:pPr>
    </w:p>
    <w:p w14:paraId="15E1B177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bCs/>
          <w:u w:val="single"/>
        </w:rPr>
      </w:pPr>
      <w:r w:rsidRPr="00F17AE3">
        <w:rPr>
          <w:rFonts w:ascii="Myriad Pro Light" w:hAnsi="Myriad Pro Light"/>
          <w:b/>
          <w:bCs/>
          <w:u w:val="single"/>
        </w:rPr>
        <w:t xml:space="preserve">IV. OFERTY WARIANTOWE </w:t>
      </w:r>
    </w:p>
    <w:p w14:paraId="0E61E3B9" w14:textId="465AB64F" w:rsidR="003D726B" w:rsidRPr="00A50209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>Zamawiający dopuszcza składani</w:t>
      </w:r>
      <w:r w:rsidR="00A50209">
        <w:rPr>
          <w:rFonts w:ascii="Myriad Pro Light" w:hAnsi="Myriad Pro Light"/>
          <w:lang w:val="pl-PL"/>
        </w:rPr>
        <w:t>e</w:t>
      </w:r>
      <w:r w:rsidRPr="00F17AE3">
        <w:rPr>
          <w:rFonts w:ascii="Myriad Pro Light" w:hAnsi="Myriad Pro Light"/>
        </w:rPr>
        <w:t xml:space="preserve"> ofert wariantowych. </w:t>
      </w:r>
      <w:r w:rsidR="00CF5815">
        <w:rPr>
          <w:rFonts w:ascii="Myriad Pro Light" w:hAnsi="Myriad Pro Light"/>
          <w:lang w:val="pl-PL"/>
        </w:rPr>
        <w:t xml:space="preserve">Oferenci mają dowolność w kreowaniu wariantów (z parametrami mniejszymi lub większymi od określonych w opisie zamówienia) pod warunkiem, iż zachowane zostaną wymagania oznaczone jako wymagane. Oferent ma prawo złożyć do 3 ofert wariantowych. </w:t>
      </w:r>
    </w:p>
    <w:p w14:paraId="44784B46" w14:textId="77777777" w:rsidR="006C24AE" w:rsidRDefault="006C24AE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</w:p>
    <w:p w14:paraId="5C69DA3E" w14:textId="306C43F8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V. OFERTY CZĘŚCIOWE</w:t>
      </w:r>
    </w:p>
    <w:p w14:paraId="1F989914" w14:textId="6DDBCB34" w:rsidR="009519BA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A50209">
        <w:rPr>
          <w:rFonts w:ascii="Myriad Pro Light" w:hAnsi="Myriad Pro Light"/>
          <w:lang w:val="pl-PL"/>
        </w:rPr>
        <w:t xml:space="preserve">nie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0891B921" w14:textId="77777777" w:rsidR="006C24AE" w:rsidRPr="006C24AE" w:rsidRDefault="006C24AE" w:rsidP="00A50209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3C3553CE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 xml:space="preserve">VI. TERMIN WYKONANIA ZAMÓWIENIA. </w:t>
      </w:r>
    </w:p>
    <w:p w14:paraId="08ABBF74" w14:textId="38C50DA1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3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2C7E18">
        <w:rPr>
          <w:rFonts w:ascii="Myriad Pro Light" w:hAnsi="Myriad Pro Light"/>
          <w:b/>
          <w:bCs/>
          <w:lang w:val="pl-PL"/>
        </w:rPr>
        <w:t>6</w:t>
      </w:r>
      <w:r w:rsidR="006C24AE">
        <w:rPr>
          <w:rFonts w:ascii="Myriad Pro Light" w:hAnsi="Myriad Pro Light"/>
          <w:b/>
          <w:bCs/>
          <w:lang w:val="pl-PL"/>
        </w:rPr>
        <w:t xml:space="preserve">0 dni od dnia podpisania umowy. </w:t>
      </w:r>
    </w:p>
    <w:bookmarkEnd w:id="3"/>
    <w:p w14:paraId="0998C53A" w14:textId="77777777" w:rsidR="009519BA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44D2FBD7" w14:textId="77777777" w:rsidR="00494AC3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6D1442AA" w14:textId="77777777" w:rsidR="00BA3C81" w:rsidRPr="00F17AE3" w:rsidRDefault="00BA3C81" w:rsidP="003E7F52">
      <w:pPr>
        <w:pStyle w:val="Tekstpodstawowy"/>
        <w:tabs>
          <w:tab w:val="left" w:pos="5670"/>
        </w:tabs>
        <w:rPr>
          <w:rFonts w:ascii="Myriad Pro Light" w:hAnsi="Myriad Pro Light"/>
          <w:b/>
          <w:u w:val="single"/>
          <w:lang w:val="pl-PL"/>
        </w:rPr>
      </w:pPr>
      <w:r w:rsidRPr="00F17AE3">
        <w:rPr>
          <w:rFonts w:ascii="Myriad Pro Light" w:hAnsi="Myriad Pro Light"/>
          <w:b/>
          <w:u w:val="single"/>
        </w:rPr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4" w:name="_Hlk46215059"/>
      <w:r w:rsidRPr="00F17AE3">
        <w:rPr>
          <w:rFonts w:ascii="Myriad Pro Light" w:hAnsi="Myriad Pro Light"/>
          <w:lang w:val="pl-PL" w:eastAsia="pl-PL"/>
        </w:rPr>
        <w:lastRenderedPageBreak/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70A8E004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– 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udział w organizacji przestępczej, zgodnie z definicją takiej organizacji zawartą w art. 2 ust. 1 wspólnego działania Rady 98/733/WSiSW;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korupcję, zgodnie z definicją zawartą odpowiednio w art. 3 aktu Rady z dnia 26 maja 1997 r. oraz art. 3 ust. 1 wspólnego działania Rady 98/742/WSiSW;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4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</w:t>
      </w:r>
      <w:r w:rsidRPr="00F17AE3">
        <w:rPr>
          <w:rFonts w:ascii="Myriad Pro Light" w:hAnsi="Myriad Pro Light"/>
          <w:lang w:val="pl-PL" w:eastAsia="pl-PL"/>
        </w:rPr>
        <w:lastRenderedPageBreak/>
        <w:t xml:space="preserve">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696C120F" w14:textId="7AA89D98" w:rsidR="00DE780E" w:rsidRDefault="00DE780E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31B2D4B1" w14:textId="77777777" w:rsidR="002C7E18" w:rsidRPr="00F17AE3" w:rsidRDefault="002C7E18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Sposób dokonania oceny spełnienia warunków udziału w postępowaniu</w:t>
      </w:r>
    </w:p>
    <w:p w14:paraId="304D7BEB" w14:textId="77777777" w:rsidR="00BA3C81" w:rsidRPr="00F17AE3" w:rsidRDefault="00BA3C81" w:rsidP="003E7F5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2797B8DE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029BF5F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3A5331F3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 </w:t>
      </w:r>
      <w:r w:rsidRPr="00F17AE3">
        <w:rPr>
          <w:rFonts w:ascii="Myriad Pro Light" w:hAnsi="Myriad Pro Light"/>
          <w:b/>
          <w:lang w:eastAsia="ar-SA"/>
        </w:rPr>
        <w:t xml:space="preserve">wg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2AA20398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fax :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0FD11179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629815C3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lang w:eastAsia="ar-SA"/>
        </w:rPr>
      </w:pPr>
    </w:p>
    <w:p w14:paraId="7F87CCA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0D71D429" w14:textId="585CCF25" w:rsidR="00BA3C81" w:rsidRPr="00F17AE3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lastRenderedPageBreak/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62E4E163" w14:textId="77777777" w:rsidR="00BA3C81" w:rsidRPr="00F17AE3" w:rsidRDefault="00BA3C81" w:rsidP="003E7F52">
      <w:pPr>
        <w:autoSpaceDE w:val="0"/>
        <w:jc w:val="both"/>
        <w:rPr>
          <w:rFonts w:ascii="Myriad Pro Light" w:hAnsi="Myriad Pro Light"/>
          <w:b/>
        </w:rPr>
      </w:pPr>
    </w:p>
    <w:p w14:paraId="01A79186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0415BF0C" w14:textId="77777777" w:rsidR="00BA3C81" w:rsidRPr="00F17AE3" w:rsidRDefault="00BA3C81" w:rsidP="003E7F5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14EDA7B" w14:textId="77777777" w:rsidR="002E5B24" w:rsidRPr="00F17AE3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 Light" w:hAnsi="Myriad Pro Light"/>
          <w:b/>
          <w:u w:val="single"/>
          <w:lang w:eastAsia="ar-SA"/>
        </w:rPr>
      </w:pPr>
    </w:p>
    <w:p w14:paraId="59207BD5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68D500B5" w14:textId="77777777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4E89212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95B8171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27BDEE8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DC9C99A" w14:textId="16818945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493B42C2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Wykonawca może złożyć jedną ofertę.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być </w:t>
      </w:r>
      <w:r w:rsidRPr="00F17AE3">
        <w:rPr>
          <w:rFonts w:ascii="Myriad Pro Light" w:eastAsia="Arial" w:hAnsi="Myriad Pro Light"/>
          <w:lang w:eastAsia="ar-SA"/>
        </w:rPr>
        <w:t xml:space="preserve"> zaadresowana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22B5FAE3" w14:textId="77777777" w:rsidR="00A50209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A50209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1D22DD63" w14:textId="14C34836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716806F8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A50209">
        <w:rPr>
          <w:rFonts w:ascii="Myriad Pro Light" w:hAnsi="Myriad Pro Light"/>
          <w:b/>
          <w:bCs/>
          <w:iCs/>
          <w:lang w:eastAsia="ar-SA"/>
        </w:rPr>
        <w:t>22</w:t>
      </w:r>
      <w:r w:rsidR="002C7E18">
        <w:rPr>
          <w:rFonts w:ascii="Myriad Pro Light" w:hAnsi="Myriad Pro Light"/>
          <w:b/>
          <w:bCs/>
          <w:iCs/>
          <w:lang w:eastAsia="ar-SA"/>
        </w:rPr>
        <w:t xml:space="preserve"> października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0C499F" w:rsidRPr="00F17AE3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r.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4D2E7FB1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</w:t>
      </w:r>
      <w:r w:rsidRPr="00F17AE3">
        <w:rPr>
          <w:rFonts w:ascii="Myriad Pro Light" w:eastAsia="Arial" w:hAnsi="Myriad Pro Light"/>
          <w:lang w:eastAsia="ar-SA"/>
        </w:rPr>
        <w:lastRenderedPageBreak/>
        <w:t xml:space="preserve">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70C37851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Kopie dokumentów dotyczących poszczególnych wykonawców potwierdza „za zgodność z oryginałem” pełnomocnik wspólnie występujących wykonawców.  </w:t>
      </w:r>
    </w:p>
    <w:p w14:paraId="15EBA647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C56A62C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5A2ED091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5" w:name="_Hlk46215433"/>
      <w:r w:rsidRPr="00F17AE3">
        <w:rPr>
          <w:rFonts w:ascii="Myriad Pro Light" w:hAnsi="Myriad Pro Light"/>
          <w:b/>
          <w:bCs/>
          <w:iCs/>
          <w:lang w:eastAsia="ar-SA"/>
        </w:rPr>
        <w:t xml:space="preserve">Termin składania ofert: do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dnia </w:t>
      </w:r>
      <w:r w:rsidR="00A50209">
        <w:rPr>
          <w:rFonts w:ascii="Myriad Pro Light" w:hAnsi="Myriad Pro Light"/>
          <w:b/>
          <w:bCs/>
          <w:iCs/>
          <w:lang w:eastAsia="ar-SA"/>
        </w:rPr>
        <w:t>22</w:t>
      </w:r>
      <w:r w:rsidR="002C7E18">
        <w:rPr>
          <w:rFonts w:ascii="Myriad Pro Light" w:hAnsi="Myriad Pro Light"/>
          <w:b/>
          <w:bCs/>
          <w:iCs/>
          <w:lang w:eastAsia="ar-SA"/>
        </w:rPr>
        <w:t xml:space="preserve"> października</w:t>
      </w:r>
      <w:r w:rsidR="002C7E18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0F3853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r., do godz. </w:t>
      </w:r>
      <w:r w:rsidR="00DA576F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:30</w:t>
      </w:r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bookmarkEnd w:id="5"/>
    <w:p w14:paraId="17E92EA7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>econa lub poczta kurierska) 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1BF691B3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47"/>
      <w:r w:rsidRPr="00F17AE3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F17AE3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A50209">
        <w:rPr>
          <w:rFonts w:ascii="Myriad Pro Light" w:hAnsi="Myriad Pro Light"/>
          <w:b/>
          <w:bCs/>
          <w:iCs/>
          <w:lang w:eastAsia="ar-SA"/>
        </w:rPr>
        <w:t>22</w:t>
      </w:r>
      <w:r w:rsidR="002C7E18">
        <w:rPr>
          <w:rFonts w:ascii="Myriad Pro Light" w:hAnsi="Myriad Pro Light"/>
          <w:b/>
          <w:bCs/>
          <w:iCs/>
          <w:lang w:eastAsia="ar-SA"/>
        </w:rPr>
        <w:t xml:space="preserve"> października</w:t>
      </w:r>
      <w:r w:rsidR="002C7E18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7B28F4" w:rsidRPr="00700125">
        <w:rPr>
          <w:rFonts w:ascii="Myriad Pro Light" w:hAnsi="Myriad Pro Light"/>
          <w:b/>
          <w:bCs/>
          <w:iCs/>
          <w:lang w:eastAsia="ar-SA"/>
        </w:rPr>
        <w:t xml:space="preserve"> r.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 godz. 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:00</w:t>
      </w:r>
      <w:bookmarkEnd w:id="6"/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2639103F" w14:textId="01CEC1DB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7631022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12C4DA9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7" w:name="_Hlk46215397"/>
      <w:r w:rsidRPr="00F17AE3">
        <w:rPr>
          <w:rFonts w:ascii="Myriad Pro Light" w:eastAsia="Arial" w:hAnsi="Myriad Pro Light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 przypadku nie złożenia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7"/>
    <w:p w14:paraId="013D6D72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2C9C6B2F" w14:textId="77777777" w:rsidR="00D77786" w:rsidRPr="00F17AE3" w:rsidRDefault="00D77786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7C8A978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77777777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ofertowa powinna być określona  z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stanowić będzie ryczałtowe wynagrodzenie Wykonawcy za wykonanie przedmiotu zamówienia. </w:t>
      </w:r>
    </w:p>
    <w:p w14:paraId="308FB134" w14:textId="7777777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138DDC4E" w14:textId="77777777" w:rsidR="000824A4" w:rsidRPr="00F17AE3" w:rsidRDefault="000824A4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4449499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6EAC7242" w14:textId="77777777" w:rsidR="00BA3C81" w:rsidRPr="00F17AE3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78CC290D" w14:textId="77777777" w:rsidR="00EC530F" w:rsidRPr="00F17AE3" w:rsidRDefault="00EC530F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3897BD2" w14:textId="77777777" w:rsidR="002C7E18" w:rsidRDefault="002C7E18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4B4FE363" w14:textId="5B0BECD5" w:rsidR="00BA3C81" w:rsidRPr="00F17AE3" w:rsidRDefault="005209CC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VIII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. KRYTERIA WYBORU OFERTY</w:t>
      </w:r>
    </w:p>
    <w:p w14:paraId="52D33CFB" w14:textId="03BFBB70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8" w:name="_Hlk46215325"/>
      <w:r w:rsidRPr="00F17AE3">
        <w:rPr>
          <w:rFonts w:ascii="Myriad Pro Light" w:hAnsi="Myriad Pro Light"/>
          <w:lang w:eastAsia="ar-SA"/>
        </w:rPr>
        <w:t>Kryteria wyboru oferty i ich znaczenie 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289C5DC7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3D0FB6">
        <w:rPr>
          <w:rFonts w:ascii="Myriad Pro Light" w:hAnsi="Myriad Pro Light"/>
          <w:b/>
          <w:lang w:eastAsia="ar-SA"/>
        </w:rPr>
        <w:t>6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Pr="00F17AE3">
        <w:rPr>
          <w:rFonts w:ascii="Myriad Pro Light" w:hAnsi="Myriad Pro Light"/>
          <w:b/>
          <w:lang w:eastAsia="ar-SA"/>
        </w:rPr>
        <w:t xml:space="preserve"> 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3C608A41" w14:textId="11C65A89" w:rsidR="005209CC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Długość gwarancji –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F71C8F" w:rsidRPr="00F17AE3">
        <w:rPr>
          <w:rFonts w:ascii="Myriad Pro Light" w:hAnsi="Myriad Pro Light"/>
          <w:b/>
          <w:lang w:eastAsia="ar-SA"/>
        </w:rPr>
        <w:t>2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  <w:r w:rsidRPr="00F17AE3">
        <w:rPr>
          <w:rFonts w:ascii="Myriad Pro Light" w:hAnsi="Myriad Pro Light"/>
          <w:b/>
          <w:lang w:eastAsia="ar-SA"/>
        </w:rPr>
        <w:t xml:space="preserve"> </w:t>
      </w:r>
    </w:p>
    <w:p w14:paraId="018BF8F0" w14:textId="5B11379C" w:rsidR="003D0FB6" w:rsidRPr="00F17AE3" w:rsidRDefault="003D0FB6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Zużycie energii – znaczenie kryterium – 10%</w:t>
      </w:r>
    </w:p>
    <w:p w14:paraId="5EA4A9A4" w14:textId="3D0B228E" w:rsidR="00DD38EE" w:rsidRPr="00F17AE3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Termin </w:t>
      </w:r>
      <w:r w:rsidR="002B14E2">
        <w:rPr>
          <w:rFonts w:ascii="Myriad Pro Light" w:hAnsi="Myriad Pro Light"/>
          <w:b/>
          <w:lang w:eastAsia="ar-SA"/>
        </w:rPr>
        <w:t>dostawy</w:t>
      </w:r>
      <w:r w:rsidRPr="00F17AE3">
        <w:rPr>
          <w:rFonts w:ascii="Myriad Pro Light" w:hAnsi="Myriad Pro Light"/>
          <w:b/>
          <w:lang w:eastAsia="ar-SA"/>
        </w:rPr>
        <w:t xml:space="preserve"> –</w:t>
      </w:r>
      <w:r w:rsidR="00016395">
        <w:rPr>
          <w:rFonts w:ascii="Myriad Pro Light" w:hAnsi="Myriad Pro Light"/>
          <w:b/>
          <w:lang w:eastAsia="ar-SA"/>
        </w:rPr>
        <w:t xml:space="preserve"> znaczenie kryterium – 1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8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6C637FBC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76A3E1B4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6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449112F1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24ACDC83" w:rsidR="00D54980" w:rsidRPr="00F17AE3" w:rsidRDefault="00C22B20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gwarancja oferowana </w:t>
      </w:r>
    </w:p>
    <w:p w14:paraId="4FF924CB" w14:textId="7F8E5513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232C44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x20%</w:t>
      </w:r>
    </w:p>
    <w:p w14:paraId="24054F66" w14:textId="56E7DECA" w:rsidR="00BA3C81" w:rsidRPr="00F17AE3" w:rsidRDefault="00D54980" w:rsidP="003E7F52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najdłuższa gwarancja spośród badanych ofert</w:t>
      </w:r>
    </w:p>
    <w:p w14:paraId="7AC3B2C0" w14:textId="0C908AD6" w:rsidR="00BA3C81" w:rsidRDefault="00BA3C81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202ADAB5" w14:textId="77777777" w:rsidR="002B14E2" w:rsidRPr="00F17AE3" w:rsidRDefault="002B14E2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3B102423" w14:textId="0EDD83D8" w:rsidR="003D0FB6" w:rsidRPr="00F17AE3" w:rsidRDefault="003D0FB6" w:rsidP="003D0FB6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najlepsza spośród ofert</w:t>
      </w:r>
    </w:p>
    <w:p w14:paraId="75471B78" w14:textId="77777777" w:rsidR="003D0FB6" w:rsidRPr="00F17AE3" w:rsidRDefault="003D0FB6" w:rsidP="003D0FB6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liczba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_________________________________________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x 10%</w:t>
      </w:r>
    </w:p>
    <w:p w14:paraId="21280128" w14:textId="2698E45F" w:rsidR="003D0FB6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3D0FB6">
        <w:rPr>
          <w:rFonts w:ascii="Myriad Pro Light" w:hAnsi="Myriad Pro Light"/>
          <w:sz w:val="22"/>
          <w:szCs w:val="22"/>
          <w:lang w:eastAsia="ar-SA"/>
        </w:rPr>
        <w:t>oferta oceniana</w:t>
      </w:r>
    </w:p>
    <w:p w14:paraId="08E22076" w14:textId="77777777" w:rsidR="003D0FB6" w:rsidRDefault="003D0FB6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0D25A750" w14:textId="5A9FF511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Metoda obliczania zużycia energii została określona w Rozporządzeniu Prezesa Rady Ministrów z dnia 10 maja 2011 r. w sprawie innych niż cena obowiązkowych kryteriów oceny ofert w odniesieniu do niektórych rodzajów zamówień publicznych (Dz. U. nr 96 poz 556). </w:t>
      </w:r>
    </w:p>
    <w:p w14:paraId="3D65B42A" w14:textId="01BD866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5ED9DA68" w14:textId="6A4D031E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zużycie energii = średnia wartość spalania * wartość energetyczna 1 litra paliwa</w:t>
      </w:r>
    </w:p>
    <w:p w14:paraId="7A21E6BF" w14:textId="019E2DE5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C534B16" w14:textId="2E9C66AD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Gdzie: wartość energetyczna 1 litra paliwa określa Załącznik do Rozporządzenia Prezesa Rady Ministrów z dnia 10 maja 2011 r. w sprawie innych niż cena obowiązkowych kryteriów oceny ofert w odniesieniu do niektórych rodzajów zamówień publicznych (Dz. U. nr 96 poz 556).</w:t>
      </w:r>
    </w:p>
    <w:p w14:paraId="411BCF38" w14:textId="62E95F0C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DF0490B" w14:textId="7777777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40AD6084" w14:textId="6603FF1E" w:rsidR="00087C00" w:rsidRPr="00F17AE3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najkrótszy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565C9007" w14:textId="32D8E74B" w:rsidR="00087C00" w:rsidRPr="00F17AE3" w:rsidRDefault="002443E2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x 10%</w:t>
      </w:r>
    </w:p>
    <w:p w14:paraId="1600EB7D" w14:textId="196030AE" w:rsidR="00722872" w:rsidRPr="00F17AE3" w:rsidRDefault="00087C00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oferowany</w:t>
      </w:r>
    </w:p>
    <w:p w14:paraId="195D2953" w14:textId="77777777" w:rsidR="00823613" w:rsidRPr="00F17AE3" w:rsidRDefault="00823613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7CDDBF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* rozumiany jako ilość dni </w:t>
      </w:r>
      <w:r w:rsidR="002B14E2">
        <w:rPr>
          <w:rFonts w:ascii="Myriad Pro Light" w:hAnsi="Myriad Pro Light"/>
          <w:lang w:eastAsia="ar-SA"/>
        </w:rPr>
        <w:t xml:space="preserve">wskazanych w ofercie jako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393924" w:rsidRPr="00F17AE3">
        <w:rPr>
          <w:rFonts w:ascii="Myriad Pro Light" w:hAnsi="Myriad Pro Light"/>
          <w:lang w:eastAsia="ar-SA"/>
        </w:rPr>
        <w:t xml:space="preserve">zakończenia </w:t>
      </w:r>
      <w:r w:rsidR="00DD38EE" w:rsidRPr="00F17AE3">
        <w:rPr>
          <w:rFonts w:ascii="Myriad Pro Light" w:hAnsi="Myriad Pro Light"/>
          <w:lang w:eastAsia="ar-SA"/>
        </w:rPr>
        <w:t>realizacji zamówienia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6DF65F37" w14:textId="1FAFC2D5" w:rsidR="002B14E2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20BBC610" w14:textId="77777777" w:rsidR="00BA3C81" w:rsidRPr="00F17AE3" w:rsidRDefault="00B618C3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5EAA12FA" w14:textId="77777777" w:rsidR="00D16B18" w:rsidRPr="00F17AE3" w:rsidRDefault="00D16B18" w:rsidP="003E7F52">
      <w:pPr>
        <w:suppressAutoHyphens/>
        <w:ind w:left="360"/>
        <w:rPr>
          <w:rFonts w:ascii="Myriad Pro Light" w:hAnsi="Myriad Pro Light"/>
          <w:lang w:eastAsia="ar-SA"/>
        </w:rPr>
      </w:pPr>
    </w:p>
    <w:p w14:paraId="7A34E87E" w14:textId="77777777" w:rsidR="003D0FB6" w:rsidRDefault="003D0FB6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3488F35A" w14:textId="1A383ACF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caps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XX. </w:t>
      </w:r>
      <w:r w:rsidRPr="00F17AE3">
        <w:rPr>
          <w:rFonts w:ascii="Myriad Pro Light" w:hAnsi="Myriad Pro Light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9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9"/>
    <w:p w14:paraId="0292B765" w14:textId="77777777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14:paraId="433614AA" w14:textId="77777777" w:rsidR="00B67CFA" w:rsidRPr="00F17AE3" w:rsidRDefault="00B67CFA" w:rsidP="00823613">
      <w:pPr>
        <w:suppressAutoHyphens/>
        <w:jc w:val="both"/>
        <w:rPr>
          <w:rFonts w:ascii="Myriad Pro Light" w:hAnsi="Myriad Pro Light"/>
          <w:lang w:eastAsia="ar-SA"/>
        </w:rPr>
      </w:pPr>
    </w:p>
    <w:p w14:paraId="0CC3A83C" w14:textId="7BD87118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</w:t>
      </w:r>
      <w:r w:rsidR="005209CC" w:rsidRPr="00F17AE3">
        <w:rPr>
          <w:rFonts w:ascii="Myriad Pro Light" w:hAnsi="Myriad Pro Light"/>
          <w:b/>
          <w:u w:val="single"/>
          <w:lang w:eastAsia="ar-SA"/>
        </w:rPr>
        <w:t>I</w:t>
      </w:r>
      <w:r w:rsidRPr="00F17AE3">
        <w:rPr>
          <w:rFonts w:ascii="Myriad Pro Light" w:hAnsi="Myriad Pro Light"/>
          <w:b/>
          <w:u w:val="single"/>
          <w:lang w:eastAsia="ar-SA"/>
        </w:rPr>
        <w:t>. POUCZENIE O ŚRODKACH OCHRONY PRAWNEJ PRZYSŁUGUJĄCYCH WYKONAWCY W TOKU POSTĘPOWANIA</w:t>
      </w:r>
    </w:p>
    <w:p w14:paraId="4919BD8B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bookmarkStart w:id="10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0"/>
    </w:p>
    <w:p w14:paraId="7B895CBA" w14:textId="77777777" w:rsidR="00BA3C81" w:rsidRPr="00F17AE3" w:rsidRDefault="00BA3C81" w:rsidP="003E7F52">
      <w:pPr>
        <w:suppressAutoHyphens/>
        <w:rPr>
          <w:rFonts w:ascii="Myriad Pro Light" w:hAnsi="Myriad Pro Light"/>
          <w:lang w:eastAsia="ar-SA"/>
        </w:rPr>
      </w:pPr>
    </w:p>
    <w:p w14:paraId="5FB7469A" w14:textId="3977948A" w:rsidR="002533DD" w:rsidRPr="00F17AE3" w:rsidRDefault="00EC6CE4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1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 xml:space="preserve">gwarantujący jawność, przejrzystość, obiektywizm i efektywność udzielenia zamówienia oraz równy dostęp dla podmiotów gospodarczych ze wszystkich państw członkowskich Unii Europejskiej, przy czym w </w:t>
      </w:r>
      <w:r w:rsidRPr="00F17AE3">
        <w:rPr>
          <w:rFonts w:ascii="Myriad Pro Light" w:hAnsi="Myriad Pro Light" w:cs="Arial"/>
          <w:bCs/>
        </w:rPr>
        <w:lastRenderedPageBreak/>
        <w:t>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1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BBDB" w14:textId="77777777" w:rsidR="00C0453F" w:rsidRDefault="00C0453F">
      <w:r>
        <w:separator/>
      </w:r>
    </w:p>
  </w:endnote>
  <w:endnote w:type="continuationSeparator" w:id="0">
    <w:p w14:paraId="18C8D9DD" w14:textId="77777777" w:rsidR="00C0453F" w:rsidRDefault="00C0453F">
      <w:r>
        <w:continuationSeparator/>
      </w:r>
    </w:p>
  </w:endnote>
  <w:endnote w:type="continuationNotice" w:id="1">
    <w:p w14:paraId="6F7C98D3" w14:textId="77777777" w:rsidR="00C0453F" w:rsidRDefault="00C04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7BE1" w14:textId="77777777" w:rsidR="00C0453F" w:rsidRDefault="00C0453F">
      <w:r>
        <w:separator/>
      </w:r>
    </w:p>
  </w:footnote>
  <w:footnote w:type="continuationSeparator" w:id="0">
    <w:p w14:paraId="2A347CA7" w14:textId="77777777" w:rsidR="00C0453F" w:rsidRDefault="00C0453F">
      <w:r>
        <w:continuationSeparator/>
      </w:r>
    </w:p>
  </w:footnote>
  <w:footnote w:type="continuationNotice" w:id="1">
    <w:p w14:paraId="78AB6508" w14:textId="77777777" w:rsidR="00C0453F" w:rsidRDefault="00C04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CF5815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92D"/>
    <w:rsid w:val="002C0A7C"/>
    <w:rsid w:val="002C0EE9"/>
    <w:rsid w:val="002C1D68"/>
    <w:rsid w:val="002C5C2A"/>
    <w:rsid w:val="002C5F9D"/>
    <w:rsid w:val="002C7687"/>
    <w:rsid w:val="002C7E18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307C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3622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09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0F44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53F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6BBB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815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37A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3429</Words>
  <Characters>20578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23960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3</cp:revision>
  <cp:lastPrinted>2020-07-29T08:37:00Z</cp:lastPrinted>
  <dcterms:created xsi:type="dcterms:W3CDTF">2021-10-08T11:45:00Z</dcterms:created>
  <dcterms:modified xsi:type="dcterms:W3CDTF">2021-10-08T11:59:00Z</dcterms:modified>
</cp:coreProperties>
</file>